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36B7" w14:textId="77777777" w:rsidR="00D338DB" w:rsidRPr="00D338DB" w:rsidRDefault="00D338DB" w:rsidP="00472A7F">
      <w:pPr>
        <w:pStyle w:val="Tytu"/>
        <w:rPr>
          <w:lang w:val="en-US"/>
        </w:rPr>
      </w:pPr>
      <w:r w:rsidRPr="00D338DB">
        <w:rPr>
          <w:lang w:val="en-US"/>
        </w:rPr>
        <w:t>UNDERSTANDING FACTORS INFLUENCING PHOTOCATALYSIS –</w:t>
      </w:r>
    </w:p>
    <w:p w14:paraId="5FA92414" w14:textId="0390CCA5" w:rsidR="003C3F1A" w:rsidRPr="00D338DB" w:rsidRDefault="00D338DB" w:rsidP="00472A7F">
      <w:pPr>
        <w:pStyle w:val="Tytu"/>
        <w:rPr>
          <w:lang w:val="en-US"/>
        </w:rPr>
      </w:pPr>
      <w:r w:rsidRPr="00D338DB">
        <w:rPr>
          <w:lang w:val="en-US"/>
        </w:rPr>
        <w:t>CAN WE DESIGN EFFICIENT PHOTOCATALYSTS?</w:t>
      </w:r>
    </w:p>
    <w:p w14:paraId="76DA066E" w14:textId="77777777" w:rsidR="003C3F1A" w:rsidRPr="00D338DB" w:rsidRDefault="003C3F1A" w:rsidP="00472A7F">
      <w:pPr>
        <w:pStyle w:val="Tytu"/>
        <w:rPr>
          <w:lang w:val="en-US"/>
        </w:rPr>
      </w:pPr>
    </w:p>
    <w:p w14:paraId="2535A1C6" w14:textId="2840FBAF" w:rsidR="003C3F1A" w:rsidRPr="00276EED" w:rsidRDefault="00C40A31" w:rsidP="003C3F1A">
      <w:pPr>
        <w:pStyle w:val="Autorzy"/>
        <w:rPr>
          <w:vertAlign w:val="superscript"/>
        </w:rPr>
      </w:pPr>
      <w:r w:rsidRPr="00C40A31">
        <w:rPr>
          <w:caps w:val="0"/>
          <w:u w:val="single"/>
        </w:rPr>
        <w:t>Wojciech Macyk</w:t>
      </w:r>
      <w:r w:rsidRPr="00C40A31">
        <w:rPr>
          <w:caps w:val="0"/>
        </w:rPr>
        <w:t>,</w:t>
      </w:r>
      <w:r w:rsidR="00250176">
        <w:rPr>
          <w:caps w:val="0"/>
        </w:rPr>
        <w:t>*</w:t>
      </w:r>
      <w:r w:rsidRPr="00C40A31">
        <w:rPr>
          <w:caps w:val="0"/>
        </w:rPr>
        <w:t xml:space="preserve"> </w:t>
      </w:r>
      <w:proofErr w:type="spellStart"/>
      <w:r w:rsidRPr="00C40A31">
        <w:rPr>
          <w:caps w:val="0"/>
        </w:rPr>
        <w:t>Kasidid</w:t>
      </w:r>
      <w:proofErr w:type="spellEnd"/>
      <w:r w:rsidRPr="00C40A31">
        <w:rPr>
          <w:caps w:val="0"/>
        </w:rPr>
        <w:t xml:space="preserve"> </w:t>
      </w:r>
      <w:proofErr w:type="spellStart"/>
      <w:r w:rsidRPr="00C40A31">
        <w:rPr>
          <w:caps w:val="0"/>
        </w:rPr>
        <w:t>Yaemsunthorn</w:t>
      </w:r>
      <w:proofErr w:type="spellEnd"/>
      <w:r w:rsidRPr="00C40A31">
        <w:rPr>
          <w:caps w:val="0"/>
        </w:rPr>
        <w:t xml:space="preserve">, Marcin </w:t>
      </w:r>
      <w:proofErr w:type="spellStart"/>
      <w:r w:rsidRPr="00C40A31">
        <w:rPr>
          <w:caps w:val="0"/>
        </w:rPr>
        <w:t>Kobielusz</w:t>
      </w:r>
      <w:proofErr w:type="spellEnd"/>
    </w:p>
    <w:p w14:paraId="3422B5F8" w14:textId="69527D10" w:rsidR="003C3F1A" w:rsidRPr="00356D56" w:rsidRDefault="00356D56" w:rsidP="003C3F1A">
      <w:pPr>
        <w:jc w:val="center"/>
      </w:pPr>
      <w:r w:rsidRPr="00356D56">
        <w:rPr>
          <w:bCs/>
          <w:lang w:val="en-US"/>
        </w:rPr>
        <w:t xml:space="preserve">Faculty of Chemistry, Jagiellonian University, ul. </w:t>
      </w:r>
      <w:r w:rsidRPr="00356D56">
        <w:rPr>
          <w:bCs/>
        </w:rPr>
        <w:t>Gronostajowa 2, 30-387 Kraków, Poland</w:t>
      </w:r>
    </w:p>
    <w:p w14:paraId="32ABB19A" w14:textId="77777777" w:rsidR="003C3F1A" w:rsidRPr="00276EED" w:rsidRDefault="003C3F1A" w:rsidP="003C3F1A">
      <w:pPr>
        <w:pStyle w:val="Nagwek1"/>
        <w:tabs>
          <w:tab w:val="clear" w:pos="284"/>
        </w:tabs>
        <w:spacing w:line="240" w:lineRule="auto"/>
      </w:pPr>
    </w:p>
    <w:p w14:paraId="7FC937DC" w14:textId="2092CBD8" w:rsidR="003C3F1A" w:rsidRPr="003C3F1A" w:rsidRDefault="003C3F1A" w:rsidP="003C3F1A">
      <w:pPr>
        <w:pStyle w:val="email"/>
        <w:jc w:val="left"/>
      </w:pPr>
      <w:r w:rsidRPr="003C3F1A">
        <w:rPr>
          <w:vertAlign w:val="superscript"/>
        </w:rPr>
        <w:t>*</w:t>
      </w:r>
      <w:r w:rsidRPr="003C3F1A">
        <w:t xml:space="preserve">autor korespondencyjny: </w:t>
      </w:r>
      <w:r w:rsidR="00356D56">
        <w:t>macyk@chemia.uj.edu.</w:t>
      </w:r>
      <w:r w:rsidRPr="003C3F1A">
        <w:t>pl</w:t>
      </w:r>
    </w:p>
    <w:p w14:paraId="6570E7BC" w14:textId="77777777" w:rsidR="003C3F1A" w:rsidRPr="003C3F1A" w:rsidRDefault="003C3F1A" w:rsidP="003C3F1A">
      <w:pPr>
        <w:pStyle w:val="Tekstpodstawowywcity"/>
      </w:pPr>
    </w:p>
    <w:p w14:paraId="394AA839" w14:textId="77777777" w:rsidR="000B601D" w:rsidRPr="000B601D" w:rsidRDefault="003C3F1A" w:rsidP="000B601D">
      <w:pPr>
        <w:spacing w:line="240" w:lineRule="auto"/>
        <w:rPr>
          <w:color w:val="000000"/>
          <w:lang w:val="en-US"/>
        </w:rPr>
      </w:pPr>
      <w:r w:rsidRPr="003C3F1A">
        <w:tab/>
      </w:r>
      <w:r w:rsidR="000B601D" w:rsidRPr="000B601D">
        <w:rPr>
          <w:color w:val="000000"/>
          <w:lang w:val="en-US"/>
        </w:rPr>
        <w:t>We reveal the role of the TiO</w:t>
      </w:r>
      <w:r w:rsidR="000B601D" w:rsidRPr="001B53C4">
        <w:rPr>
          <w:color w:val="000000"/>
          <w:vertAlign w:val="subscript"/>
          <w:lang w:val="en-US"/>
        </w:rPr>
        <w:t>2</w:t>
      </w:r>
      <w:r w:rsidR="000B601D" w:rsidRPr="000B601D">
        <w:rPr>
          <w:color w:val="000000"/>
          <w:lang w:val="en-US"/>
        </w:rPr>
        <w:t xml:space="preserve"> phase composition in various types of photocatalytic reactions, controlled either by reduction or oxidation counterparts. We hypothesize that the choice of the optimal phase composition of TiO</w:t>
      </w:r>
      <w:r w:rsidR="000B601D" w:rsidRPr="001B53C4">
        <w:rPr>
          <w:color w:val="000000"/>
          <w:vertAlign w:val="subscript"/>
          <w:lang w:val="en-US"/>
        </w:rPr>
        <w:t>2</w:t>
      </w:r>
      <w:r w:rsidR="000B601D" w:rsidRPr="000B601D">
        <w:rPr>
          <w:color w:val="000000"/>
          <w:lang w:val="en-US"/>
        </w:rPr>
        <w:t xml:space="preserve"> should take into account both the nature of photocatalytic reaction and intrinsic physicochemical properties of the composite photocatalyst. To verify this hypothesis, we report the phase-tunable syntheses of TiO</w:t>
      </w:r>
      <w:r w:rsidR="000B601D" w:rsidRPr="001B53C4">
        <w:rPr>
          <w:color w:val="000000"/>
          <w:vertAlign w:val="subscript"/>
          <w:lang w:val="en-US"/>
        </w:rPr>
        <w:t>2</w:t>
      </w:r>
      <w:r w:rsidR="000B601D" w:rsidRPr="000B601D">
        <w:rPr>
          <w:color w:val="000000"/>
          <w:lang w:val="en-US"/>
        </w:rPr>
        <w:t xml:space="preserve"> nanoparticles under mild temperatures (up to 200°C), which resulted in two series (A and B) of materials characterized by different anatase-to-rutile ratios, but otherwise similar morphologies. The synthesized materials were examined in water oxidation, hydrogen peroxide reduction, photocurrent generation and methanol-assisted water reduction [1]. The optimal phase composition depends on the reaction type – high contents of rutile or anatase should be considered for H</w:t>
      </w:r>
      <w:r w:rsidR="000B601D" w:rsidRPr="001B53C4">
        <w:rPr>
          <w:color w:val="000000"/>
          <w:vertAlign w:val="subscript"/>
          <w:lang w:val="en-US"/>
        </w:rPr>
        <w:t>2</w:t>
      </w:r>
      <w:r w:rsidR="000B601D" w:rsidRPr="000B601D">
        <w:rPr>
          <w:color w:val="000000"/>
          <w:lang w:val="en-US"/>
        </w:rPr>
        <w:t>O</w:t>
      </w:r>
      <w:r w:rsidR="000B601D" w:rsidRPr="001B53C4">
        <w:rPr>
          <w:color w:val="000000"/>
          <w:vertAlign w:val="subscript"/>
          <w:lang w:val="en-US"/>
        </w:rPr>
        <w:t>2</w:t>
      </w:r>
      <w:r w:rsidR="000B601D" w:rsidRPr="000B601D">
        <w:rPr>
          <w:color w:val="000000"/>
          <w:lang w:val="en-US"/>
        </w:rPr>
        <w:t xml:space="preserve"> reduction and water oxidation, respectively, while water reduction requires moderate contents of both polymorphs. The A series appeared more active in oxidation-controlled reactions, while the B series facilitated reduction-controlled processes. The DOS analysis confirmed, that rutile is a significantly better reducer, whereas anatase is a better oxidant [2-4]. Presented data show that a synergistic effect observed usually for anatase/rutile composites can result from both, intrinsic and extrinsic factors. The intrinsic factors are responsible for the improved photocatalytic activity of the material related to its physicochemical properties, e.g., efficiency of charge separation, lifetime of photogenerated charges, absorption properties, redox characteristics, porosity, specific surface area, etc. The extrinsic factors are strongly related to the redox reactions to be performed at the photocatalyst surface, both oxidation and reduction. Therefore, the design of the optimal photocatalyst must take into account both, intrinsic and extrinsic factors.</w:t>
      </w:r>
    </w:p>
    <w:p w14:paraId="00245C71" w14:textId="69FFB528" w:rsidR="000B601D" w:rsidRPr="000B601D" w:rsidRDefault="001B53C4" w:rsidP="000B601D">
      <w:pPr>
        <w:spacing w:line="240" w:lineRule="auto"/>
        <w:rPr>
          <w:color w:val="000000"/>
          <w:lang w:val="en-US"/>
        </w:rPr>
      </w:pPr>
      <w:r>
        <w:rPr>
          <w:color w:val="000000"/>
          <w:lang w:val="en-US"/>
        </w:rPr>
        <w:tab/>
      </w:r>
      <w:r w:rsidR="000B601D" w:rsidRPr="000B601D">
        <w:rPr>
          <w:color w:val="000000"/>
          <w:lang w:val="en-US"/>
        </w:rPr>
        <w:t>During the presentation some new ideas on designing new active photocatalysts will be presented and briefly discussed.</w:t>
      </w:r>
    </w:p>
    <w:p w14:paraId="0DFB0457" w14:textId="77777777" w:rsidR="000B601D" w:rsidRPr="000B601D" w:rsidRDefault="000B601D" w:rsidP="000B601D">
      <w:pPr>
        <w:spacing w:line="240" w:lineRule="auto"/>
        <w:rPr>
          <w:color w:val="000000"/>
          <w:lang w:val="en-US"/>
        </w:rPr>
      </w:pPr>
    </w:p>
    <w:p w14:paraId="3776F808" w14:textId="0DFD6D1C" w:rsidR="003C3F1A" w:rsidRPr="000B601D" w:rsidRDefault="000B601D" w:rsidP="000B601D">
      <w:pPr>
        <w:spacing w:line="240" w:lineRule="auto"/>
        <w:rPr>
          <w:color w:val="000000"/>
          <w:lang w:val="en-US"/>
        </w:rPr>
      </w:pPr>
      <w:r w:rsidRPr="000B601D">
        <w:rPr>
          <w:color w:val="000000"/>
          <w:lang w:val="en-US"/>
        </w:rPr>
        <w:t>Acknowledgements: The work was supported by the Foundation for Polish Science (FNP) within the TEAM project (POIR.04.04.00-00-3D74/16) and by the National Science Centre (NCN; 2018/30/Q/ST5/00776).</w:t>
      </w:r>
    </w:p>
    <w:p w14:paraId="4E4F8FE1" w14:textId="5D4F9A3B" w:rsidR="000B601D" w:rsidRDefault="000B601D" w:rsidP="000B601D">
      <w:pPr>
        <w:spacing w:line="240" w:lineRule="auto"/>
        <w:rPr>
          <w:color w:val="000000"/>
          <w:lang w:val="en-US"/>
        </w:rPr>
      </w:pPr>
    </w:p>
    <w:p w14:paraId="51DCAE10" w14:textId="1A0E737B" w:rsidR="000B601D" w:rsidRDefault="000B601D" w:rsidP="000B601D">
      <w:pPr>
        <w:spacing w:line="240" w:lineRule="auto"/>
        <w:rPr>
          <w:color w:val="000000"/>
          <w:lang w:val="en-US"/>
        </w:rPr>
      </w:pPr>
    </w:p>
    <w:p w14:paraId="41F75349" w14:textId="77777777" w:rsidR="009F4611" w:rsidRPr="009F4611" w:rsidRDefault="009F4611" w:rsidP="009F4611">
      <w:pPr>
        <w:tabs>
          <w:tab w:val="clear" w:pos="284"/>
          <w:tab w:val="left" w:pos="426"/>
        </w:tabs>
        <w:autoSpaceDE w:val="0"/>
        <w:autoSpaceDN w:val="0"/>
        <w:adjustRightInd w:val="0"/>
        <w:spacing w:line="240" w:lineRule="auto"/>
        <w:ind w:left="426" w:hanging="426"/>
        <w:rPr>
          <w:color w:val="000000"/>
          <w:sz w:val="22"/>
          <w:szCs w:val="22"/>
        </w:rPr>
      </w:pPr>
      <w:r w:rsidRPr="009F4611">
        <w:rPr>
          <w:color w:val="000000"/>
          <w:sz w:val="22"/>
          <w:szCs w:val="22"/>
          <w:lang w:val="en-US"/>
        </w:rPr>
        <w:t>[1]</w:t>
      </w:r>
      <w:r w:rsidRPr="009F4611">
        <w:rPr>
          <w:color w:val="000000"/>
          <w:sz w:val="22"/>
          <w:szCs w:val="22"/>
          <w:lang w:val="en-US"/>
        </w:rPr>
        <w:tab/>
        <w:t xml:space="preserve">K. </w:t>
      </w:r>
      <w:proofErr w:type="spellStart"/>
      <w:r w:rsidRPr="009F4611">
        <w:rPr>
          <w:color w:val="000000"/>
          <w:sz w:val="22"/>
          <w:szCs w:val="22"/>
          <w:lang w:val="en-US"/>
        </w:rPr>
        <w:t>Yaemsunthorn</w:t>
      </w:r>
      <w:proofErr w:type="spellEnd"/>
      <w:r w:rsidRPr="009F4611">
        <w:rPr>
          <w:color w:val="000000"/>
          <w:sz w:val="22"/>
          <w:szCs w:val="22"/>
          <w:lang w:val="en-US"/>
        </w:rPr>
        <w:t xml:space="preserve">, M. </w:t>
      </w:r>
      <w:proofErr w:type="spellStart"/>
      <w:r w:rsidRPr="009F4611">
        <w:rPr>
          <w:color w:val="000000"/>
          <w:sz w:val="22"/>
          <w:szCs w:val="22"/>
          <w:lang w:val="en-US"/>
        </w:rPr>
        <w:t>Kobielusz</w:t>
      </w:r>
      <w:proofErr w:type="spellEnd"/>
      <w:r w:rsidRPr="009F4611">
        <w:rPr>
          <w:color w:val="000000"/>
          <w:sz w:val="22"/>
          <w:szCs w:val="22"/>
          <w:lang w:val="en-US"/>
        </w:rPr>
        <w:t xml:space="preserve">, W. Macyk, ACS Appl. </w:t>
      </w:r>
      <w:r w:rsidRPr="009F4611">
        <w:rPr>
          <w:color w:val="000000"/>
          <w:sz w:val="22"/>
          <w:szCs w:val="22"/>
        </w:rPr>
        <w:t xml:space="preserve">Nano </w:t>
      </w:r>
      <w:proofErr w:type="spellStart"/>
      <w:r w:rsidRPr="009F4611">
        <w:rPr>
          <w:color w:val="000000"/>
          <w:sz w:val="22"/>
          <w:szCs w:val="22"/>
        </w:rPr>
        <w:t>Mater</w:t>
      </w:r>
      <w:proofErr w:type="spellEnd"/>
      <w:r w:rsidRPr="009F4611">
        <w:rPr>
          <w:color w:val="000000"/>
          <w:sz w:val="22"/>
          <w:szCs w:val="22"/>
        </w:rPr>
        <w:t>. 2021, 4, 633–643.</w:t>
      </w:r>
    </w:p>
    <w:p w14:paraId="4842FFAB" w14:textId="77777777" w:rsidR="009F4611" w:rsidRPr="009F4611" w:rsidRDefault="009F4611" w:rsidP="009F4611">
      <w:pPr>
        <w:tabs>
          <w:tab w:val="clear" w:pos="284"/>
          <w:tab w:val="left" w:pos="426"/>
        </w:tabs>
        <w:autoSpaceDE w:val="0"/>
        <w:autoSpaceDN w:val="0"/>
        <w:adjustRightInd w:val="0"/>
        <w:spacing w:line="240" w:lineRule="auto"/>
        <w:ind w:left="426" w:hanging="426"/>
        <w:rPr>
          <w:color w:val="000000"/>
          <w:sz w:val="22"/>
          <w:szCs w:val="22"/>
        </w:rPr>
      </w:pPr>
      <w:r w:rsidRPr="009F4611">
        <w:rPr>
          <w:color w:val="000000"/>
          <w:sz w:val="22"/>
          <w:szCs w:val="22"/>
        </w:rPr>
        <w:t>[2]</w:t>
      </w:r>
      <w:r w:rsidRPr="009F4611">
        <w:rPr>
          <w:color w:val="000000"/>
          <w:sz w:val="22"/>
          <w:szCs w:val="22"/>
        </w:rPr>
        <w:tab/>
        <w:t xml:space="preserve">M. </w:t>
      </w:r>
      <w:proofErr w:type="spellStart"/>
      <w:r w:rsidRPr="009F4611">
        <w:rPr>
          <w:color w:val="000000"/>
          <w:sz w:val="22"/>
          <w:szCs w:val="22"/>
        </w:rPr>
        <w:t>Kobielusz</w:t>
      </w:r>
      <w:proofErr w:type="spellEnd"/>
      <w:r w:rsidRPr="009F4611">
        <w:rPr>
          <w:color w:val="000000"/>
          <w:sz w:val="22"/>
          <w:szCs w:val="22"/>
        </w:rPr>
        <w:t xml:space="preserve">, B. </w:t>
      </w:r>
      <w:proofErr w:type="spellStart"/>
      <w:r w:rsidRPr="009F4611">
        <w:rPr>
          <w:color w:val="000000"/>
          <w:sz w:val="22"/>
          <w:szCs w:val="22"/>
        </w:rPr>
        <w:t>Nitta</w:t>
      </w:r>
      <w:proofErr w:type="spellEnd"/>
      <w:r w:rsidRPr="009F4611">
        <w:rPr>
          <w:color w:val="000000"/>
          <w:sz w:val="22"/>
          <w:szCs w:val="22"/>
        </w:rPr>
        <w:t xml:space="preserve">, A., </w:t>
      </w:r>
      <w:proofErr w:type="spellStart"/>
      <w:r w:rsidRPr="009F4611">
        <w:rPr>
          <w:color w:val="000000"/>
          <w:sz w:val="22"/>
          <w:szCs w:val="22"/>
        </w:rPr>
        <w:t>Ohtani</w:t>
      </w:r>
      <w:proofErr w:type="spellEnd"/>
      <w:r w:rsidRPr="009F4611">
        <w:rPr>
          <w:color w:val="000000"/>
          <w:sz w:val="22"/>
          <w:szCs w:val="22"/>
        </w:rPr>
        <w:t xml:space="preserve">, W. Macyk, J. </w:t>
      </w:r>
      <w:proofErr w:type="spellStart"/>
      <w:r w:rsidRPr="009F4611">
        <w:rPr>
          <w:color w:val="000000"/>
          <w:sz w:val="22"/>
          <w:szCs w:val="22"/>
        </w:rPr>
        <w:t>Phys</w:t>
      </w:r>
      <w:proofErr w:type="spellEnd"/>
      <w:r w:rsidRPr="009F4611">
        <w:rPr>
          <w:color w:val="000000"/>
          <w:sz w:val="22"/>
          <w:szCs w:val="22"/>
        </w:rPr>
        <w:t xml:space="preserve">. Chem. </w:t>
      </w:r>
      <w:proofErr w:type="spellStart"/>
      <w:r w:rsidRPr="009F4611">
        <w:rPr>
          <w:color w:val="000000"/>
          <w:sz w:val="22"/>
          <w:szCs w:val="22"/>
        </w:rPr>
        <w:t>Lett</w:t>
      </w:r>
      <w:proofErr w:type="spellEnd"/>
      <w:r w:rsidRPr="009F4611">
        <w:rPr>
          <w:color w:val="000000"/>
          <w:sz w:val="22"/>
          <w:szCs w:val="22"/>
        </w:rPr>
        <w:t>. 2021, 12, 3019–3025.</w:t>
      </w:r>
    </w:p>
    <w:p w14:paraId="4D572F64" w14:textId="77777777" w:rsidR="009F4611" w:rsidRPr="009F4611" w:rsidRDefault="009F4611" w:rsidP="009F4611">
      <w:pPr>
        <w:tabs>
          <w:tab w:val="clear" w:pos="284"/>
          <w:tab w:val="left" w:pos="426"/>
        </w:tabs>
        <w:autoSpaceDE w:val="0"/>
        <w:autoSpaceDN w:val="0"/>
        <w:adjustRightInd w:val="0"/>
        <w:spacing w:line="240" w:lineRule="auto"/>
        <w:ind w:left="426" w:hanging="426"/>
        <w:rPr>
          <w:color w:val="000000"/>
          <w:sz w:val="22"/>
          <w:szCs w:val="22"/>
        </w:rPr>
      </w:pPr>
      <w:r w:rsidRPr="009F4611">
        <w:rPr>
          <w:color w:val="000000"/>
          <w:sz w:val="22"/>
          <w:szCs w:val="22"/>
        </w:rPr>
        <w:t>[3]</w:t>
      </w:r>
      <w:r w:rsidRPr="009F4611">
        <w:rPr>
          <w:color w:val="000000"/>
          <w:sz w:val="22"/>
          <w:szCs w:val="22"/>
        </w:rPr>
        <w:tab/>
        <w:t xml:space="preserve">M. </w:t>
      </w:r>
      <w:proofErr w:type="spellStart"/>
      <w:r w:rsidRPr="009F4611">
        <w:rPr>
          <w:color w:val="000000"/>
          <w:sz w:val="22"/>
          <w:szCs w:val="22"/>
        </w:rPr>
        <w:t>Kobielusz</w:t>
      </w:r>
      <w:proofErr w:type="spellEnd"/>
      <w:r w:rsidRPr="009F4611">
        <w:rPr>
          <w:color w:val="000000"/>
          <w:sz w:val="22"/>
          <w:szCs w:val="22"/>
        </w:rPr>
        <w:t xml:space="preserve">, K. Pilarczyk, E. Świętek, K. </w:t>
      </w:r>
      <w:proofErr w:type="spellStart"/>
      <w:r w:rsidRPr="009F4611">
        <w:rPr>
          <w:color w:val="000000"/>
          <w:sz w:val="22"/>
          <w:szCs w:val="22"/>
        </w:rPr>
        <w:t>Szaciłowski</w:t>
      </w:r>
      <w:proofErr w:type="spellEnd"/>
      <w:r w:rsidRPr="009F4611">
        <w:rPr>
          <w:color w:val="000000"/>
          <w:sz w:val="22"/>
          <w:szCs w:val="22"/>
        </w:rPr>
        <w:t xml:space="preserve">, W. Macyk, </w:t>
      </w:r>
      <w:proofErr w:type="spellStart"/>
      <w:r w:rsidRPr="009F4611">
        <w:rPr>
          <w:color w:val="000000"/>
          <w:sz w:val="22"/>
          <w:szCs w:val="22"/>
        </w:rPr>
        <w:t>Catal</w:t>
      </w:r>
      <w:proofErr w:type="spellEnd"/>
      <w:r w:rsidRPr="009F4611">
        <w:rPr>
          <w:color w:val="000000"/>
          <w:sz w:val="22"/>
          <w:szCs w:val="22"/>
        </w:rPr>
        <w:t xml:space="preserve">. </w:t>
      </w:r>
      <w:proofErr w:type="spellStart"/>
      <w:r w:rsidRPr="009F4611">
        <w:rPr>
          <w:color w:val="000000"/>
          <w:sz w:val="22"/>
          <w:szCs w:val="22"/>
        </w:rPr>
        <w:t>Today</w:t>
      </w:r>
      <w:proofErr w:type="spellEnd"/>
      <w:r w:rsidRPr="009F4611">
        <w:rPr>
          <w:color w:val="000000"/>
          <w:sz w:val="22"/>
          <w:szCs w:val="22"/>
        </w:rPr>
        <w:t xml:space="preserve"> 2018, 309, 35–42.</w:t>
      </w:r>
    </w:p>
    <w:p w14:paraId="6A16117D" w14:textId="5A9E4223" w:rsidR="008C65A3" w:rsidRPr="009F4611" w:rsidRDefault="009F4611" w:rsidP="009F4611">
      <w:pPr>
        <w:tabs>
          <w:tab w:val="clear" w:pos="284"/>
          <w:tab w:val="left" w:pos="426"/>
        </w:tabs>
        <w:autoSpaceDE w:val="0"/>
        <w:autoSpaceDN w:val="0"/>
        <w:adjustRightInd w:val="0"/>
        <w:spacing w:line="240" w:lineRule="auto"/>
        <w:ind w:left="426" w:hanging="426"/>
        <w:rPr>
          <w:color w:val="000000"/>
          <w:sz w:val="22"/>
          <w:szCs w:val="22"/>
          <w:lang w:val="en-US"/>
        </w:rPr>
      </w:pPr>
      <w:r w:rsidRPr="009F4611">
        <w:rPr>
          <w:color w:val="000000"/>
          <w:sz w:val="22"/>
          <w:szCs w:val="22"/>
        </w:rPr>
        <w:t>[4]</w:t>
      </w:r>
      <w:r w:rsidRPr="009F4611">
        <w:rPr>
          <w:color w:val="000000"/>
          <w:sz w:val="22"/>
          <w:szCs w:val="22"/>
        </w:rPr>
        <w:tab/>
        <w:t xml:space="preserve">M. Buchalska, M. </w:t>
      </w:r>
      <w:proofErr w:type="spellStart"/>
      <w:r w:rsidRPr="009F4611">
        <w:rPr>
          <w:color w:val="000000"/>
          <w:sz w:val="22"/>
          <w:szCs w:val="22"/>
        </w:rPr>
        <w:t>Kobielusz</w:t>
      </w:r>
      <w:proofErr w:type="spellEnd"/>
      <w:r w:rsidRPr="009F4611">
        <w:rPr>
          <w:color w:val="000000"/>
          <w:sz w:val="22"/>
          <w:szCs w:val="22"/>
        </w:rPr>
        <w:t xml:space="preserve">, A. Matuszek, M. Pacia, S. Wojtyła, W. Macyk, ACS </w:t>
      </w:r>
      <w:proofErr w:type="spellStart"/>
      <w:r w:rsidRPr="009F4611">
        <w:rPr>
          <w:color w:val="000000"/>
          <w:sz w:val="22"/>
          <w:szCs w:val="22"/>
        </w:rPr>
        <w:t>Catal</w:t>
      </w:r>
      <w:proofErr w:type="spellEnd"/>
      <w:r w:rsidRPr="009F4611">
        <w:rPr>
          <w:color w:val="000000"/>
          <w:sz w:val="22"/>
          <w:szCs w:val="22"/>
        </w:rPr>
        <w:t xml:space="preserve">. </w:t>
      </w:r>
      <w:r w:rsidRPr="009F4611">
        <w:rPr>
          <w:color w:val="000000"/>
          <w:sz w:val="22"/>
          <w:szCs w:val="22"/>
          <w:lang w:val="en-US"/>
        </w:rPr>
        <w:t>2015, 5, 7424–7431.</w:t>
      </w:r>
    </w:p>
    <w:sectPr w:rsidR="008C65A3" w:rsidRPr="009F4611" w:rsidSect="003C3F1A">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NDQyNzO0sDQzMrZQ0lEKTi0uzszPAykwrAUADSdy9iwAAAA="/>
  </w:docVars>
  <w:rsids>
    <w:rsidRoot w:val="003C3F1A"/>
    <w:rsid w:val="000B601D"/>
    <w:rsid w:val="001B53C4"/>
    <w:rsid w:val="00250176"/>
    <w:rsid w:val="00356D56"/>
    <w:rsid w:val="003C3F1A"/>
    <w:rsid w:val="00472A7F"/>
    <w:rsid w:val="008C65A3"/>
    <w:rsid w:val="009F4611"/>
    <w:rsid w:val="00C40A31"/>
    <w:rsid w:val="00D338DB"/>
    <w:rsid w:val="00EF7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52D6"/>
  <w15:chartTrackingRefBased/>
  <w15:docId w15:val="{8B873666-A951-49D6-A614-D00B630E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F1A"/>
    <w:pPr>
      <w:tabs>
        <w:tab w:val="left" w:pos="284"/>
      </w:tabs>
      <w:spacing w:after="0" w:line="36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3F1A"/>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3F1A"/>
    <w:rPr>
      <w:rFonts w:ascii="Times New Roman" w:eastAsia="Times New Roman" w:hAnsi="Times New Roman" w:cs="Times New Roman"/>
      <w:b/>
      <w:bCs/>
      <w:sz w:val="24"/>
      <w:szCs w:val="24"/>
      <w:lang w:eastAsia="pl-PL"/>
    </w:rPr>
  </w:style>
  <w:style w:type="paragraph" w:styleId="Tytu">
    <w:name w:val="Title"/>
    <w:basedOn w:val="Normalny"/>
    <w:link w:val="TytuZnak"/>
    <w:autoRedefine/>
    <w:qFormat/>
    <w:rsid w:val="00472A7F"/>
    <w:pPr>
      <w:spacing w:line="240" w:lineRule="auto"/>
      <w:jc w:val="center"/>
    </w:pPr>
    <w:rPr>
      <w:b/>
      <w:bCs/>
      <w:caps/>
      <w:sz w:val="32"/>
      <w:szCs w:val="32"/>
    </w:rPr>
  </w:style>
  <w:style w:type="character" w:customStyle="1" w:styleId="TytuZnak">
    <w:name w:val="Tytuł Znak"/>
    <w:basedOn w:val="Domylnaczcionkaakapitu"/>
    <w:link w:val="Tytu"/>
    <w:rsid w:val="00472A7F"/>
    <w:rPr>
      <w:rFonts w:ascii="Times New Roman" w:eastAsia="Times New Roman" w:hAnsi="Times New Roman" w:cs="Times New Roman"/>
      <w:b/>
      <w:bCs/>
      <w:caps/>
      <w:sz w:val="32"/>
      <w:szCs w:val="32"/>
      <w:lang w:eastAsia="pl-PL"/>
    </w:rPr>
  </w:style>
  <w:style w:type="paragraph" w:styleId="Tekstpodstawowywcity">
    <w:name w:val="Body Text Indent"/>
    <w:basedOn w:val="Normalny"/>
    <w:link w:val="TekstpodstawowywcityZnak"/>
    <w:semiHidden/>
    <w:rsid w:val="003C3F1A"/>
    <w:pPr>
      <w:tabs>
        <w:tab w:val="clear" w:pos="284"/>
      </w:tabs>
      <w:ind w:firstLine="284"/>
    </w:pPr>
  </w:style>
  <w:style w:type="character" w:customStyle="1" w:styleId="TekstpodstawowywcityZnak">
    <w:name w:val="Tekst podstawowy wcięty Znak"/>
    <w:basedOn w:val="Domylnaczcionkaakapitu"/>
    <w:link w:val="Tekstpodstawowywcity"/>
    <w:semiHidden/>
    <w:rsid w:val="003C3F1A"/>
    <w:rPr>
      <w:rFonts w:ascii="Times New Roman" w:eastAsia="Times New Roman" w:hAnsi="Times New Roman" w:cs="Times New Roman"/>
      <w:sz w:val="24"/>
      <w:szCs w:val="24"/>
      <w:lang w:eastAsia="pl-PL"/>
    </w:rPr>
  </w:style>
  <w:style w:type="paragraph" w:customStyle="1" w:styleId="Autorzy">
    <w:name w:val="Autorzy"/>
    <w:basedOn w:val="Normalny"/>
    <w:rsid w:val="003C3F1A"/>
    <w:pPr>
      <w:tabs>
        <w:tab w:val="clear" w:pos="284"/>
      </w:tabs>
      <w:spacing w:after="120" w:line="240" w:lineRule="auto"/>
      <w:jc w:val="center"/>
    </w:pPr>
    <w:rPr>
      <w:b/>
      <w:bCs/>
      <w:caps/>
    </w:rPr>
  </w:style>
  <w:style w:type="paragraph" w:customStyle="1" w:styleId="email">
    <w:name w:val="email"/>
    <w:basedOn w:val="Normalny"/>
    <w:rsid w:val="003C3F1A"/>
    <w:pPr>
      <w:tabs>
        <w:tab w:val="clear" w:pos="284"/>
      </w:tabs>
      <w:spacing w:line="240" w:lineRule="auto"/>
      <w:jc w:val="center"/>
    </w:pPr>
    <w:rPr>
      <w:bCs/>
      <w:sz w:val="20"/>
    </w:rPr>
  </w:style>
  <w:style w:type="paragraph" w:customStyle="1" w:styleId="body">
    <w:name w:val="body"/>
    <w:basedOn w:val="Tekstpodstawowywcity"/>
    <w:rsid w:val="003C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65B7ACFA2932C47A6E3400CA79E2E0D" ma:contentTypeVersion="14" ma:contentTypeDescription="Utwórz nowy dokument." ma:contentTypeScope="" ma:versionID="27af3762149fc7b3d0776bab8bce9a81">
  <xsd:schema xmlns:xsd="http://www.w3.org/2001/XMLSchema" xmlns:xs="http://www.w3.org/2001/XMLSchema" xmlns:p="http://schemas.microsoft.com/office/2006/metadata/properties" xmlns:ns3="b171d967-ab3f-445e-9109-5c3fe7c63adf" xmlns:ns4="e9ba1523-fcb0-450d-b278-2f6bd5e9f3f7" targetNamespace="http://schemas.microsoft.com/office/2006/metadata/properties" ma:root="true" ma:fieldsID="da283d5e09bb5f34238feea5aa141233" ns3:_="" ns4:_="">
    <xsd:import namespace="b171d967-ab3f-445e-9109-5c3fe7c63adf"/>
    <xsd:import namespace="e9ba1523-fcb0-450d-b278-2f6bd5e9f3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1d967-ab3f-445e-9109-5c3fe7c63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a1523-fcb0-450d-b278-2f6bd5e9f3f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E99EB-FF38-4D65-8DE3-0F43FE85AD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9416C-A91C-4476-95D7-77811137B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1d967-ab3f-445e-9109-5c3fe7c63adf"/>
    <ds:schemaRef ds:uri="e9ba1523-fcb0-450d-b278-2f6bd5e9f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F7E6D-6B55-4547-A369-71D8500621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2531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Postawa</dc:creator>
  <cp:keywords/>
  <dc:description/>
  <cp:lastModifiedBy>Wojciech Macyk</cp:lastModifiedBy>
  <cp:revision>10</cp:revision>
  <dcterms:created xsi:type="dcterms:W3CDTF">2021-12-05T15:25:00Z</dcterms:created>
  <dcterms:modified xsi:type="dcterms:W3CDTF">2022-05-08T21:23:00Z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0x010100B65B7ACFA2932C47A6E3400CA79E2E0D</vt:lpwstr>
  </property>
</Properties>
</file>